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35D07" w14:textId="79F1F62F" w:rsidR="00DE7496" w:rsidRDefault="00DE7496" w:rsidP="00DE7496">
      <w:pPr>
        <w:spacing w:line="232" w:lineRule="auto"/>
        <w:rPr>
          <w:rFonts w:ascii="Arial" w:eastAsia="Arial" w:hAnsi="Arial" w:cs="Arial"/>
          <w:b/>
          <w:bCs/>
          <w:spacing w:val="-2"/>
          <w:sz w:val="24"/>
          <w:u w:val="single"/>
        </w:rPr>
      </w:pPr>
      <w:r w:rsidRPr="00DE7496">
        <w:rPr>
          <w:rFonts w:ascii="Arial" w:eastAsia="Arial" w:hAnsi="Arial" w:cs="Arial"/>
          <w:b/>
          <w:bCs/>
          <w:spacing w:val="-2"/>
          <w:sz w:val="24"/>
          <w:u w:val="single"/>
        </w:rPr>
        <w:t xml:space="preserve">Výměna informací s bankami (97/25) </w:t>
      </w:r>
    </w:p>
    <w:p w14:paraId="685BAF15" w14:textId="77777777" w:rsidR="00DE7496" w:rsidRDefault="00DE7496" w:rsidP="00DE7496">
      <w:pPr>
        <w:spacing w:line="232" w:lineRule="auto"/>
        <w:rPr>
          <w:rFonts w:ascii="Arial" w:eastAsia="Arial" w:hAnsi="Arial" w:cs="Arial"/>
          <w:b/>
          <w:bCs/>
          <w:spacing w:val="-2"/>
          <w:sz w:val="24"/>
          <w:u w:val="single"/>
        </w:rPr>
      </w:pPr>
    </w:p>
    <w:p w14:paraId="04DD4A65" w14:textId="6FD6BF09" w:rsidR="00DE7496" w:rsidRPr="00DE7496" w:rsidRDefault="00DE7496" w:rsidP="00DE7496">
      <w:pPr>
        <w:spacing w:line="232" w:lineRule="auto"/>
        <w:rPr>
          <w:rFonts w:ascii="Arial" w:eastAsia="Arial" w:hAnsi="Arial" w:cs="Arial"/>
          <w:b/>
          <w:bCs/>
          <w:spacing w:val="-2"/>
          <w:sz w:val="24"/>
        </w:rPr>
      </w:pPr>
      <w:r w:rsidRPr="00DE7496">
        <w:rPr>
          <w:rFonts w:ascii="Arial" w:eastAsia="Arial" w:hAnsi="Arial" w:cs="Arial"/>
          <w:b/>
          <w:bCs/>
          <w:spacing w:val="-2"/>
          <w:sz w:val="24"/>
        </w:rPr>
        <w:t>Žádost:</w:t>
      </w:r>
    </w:p>
    <w:p w14:paraId="3A44E060" w14:textId="77777777" w:rsidR="00DE7496" w:rsidRDefault="00DE7496" w:rsidP="00DE7496">
      <w:pPr>
        <w:spacing w:line="232" w:lineRule="auto"/>
        <w:rPr>
          <w:rFonts w:ascii="Arial" w:eastAsia="Arial" w:hAnsi="Arial" w:cs="Arial"/>
          <w:spacing w:val="-2"/>
          <w:sz w:val="24"/>
        </w:rPr>
      </w:pPr>
    </w:p>
    <w:p w14:paraId="1546B667" w14:textId="179495D6" w:rsidR="00DE7496" w:rsidRPr="00DE7496" w:rsidRDefault="00DE7496" w:rsidP="00DE7496">
      <w:pPr>
        <w:spacing w:after="100" w:afterAutospacing="1" w:line="276" w:lineRule="auto"/>
        <w:rPr>
          <w:rFonts w:ascii="Arial" w:eastAsia="Arial" w:hAnsi="Arial" w:cs="Arial"/>
          <w:spacing w:val="-2"/>
          <w:sz w:val="22"/>
          <w:szCs w:val="22"/>
        </w:rPr>
      </w:pPr>
      <w:r w:rsidRPr="00DE7496">
        <w:rPr>
          <w:rFonts w:ascii="Arial" w:eastAsia="Arial" w:hAnsi="Arial" w:cs="Arial"/>
          <w:spacing w:val="-2"/>
          <w:sz w:val="22"/>
          <w:szCs w:val="22"/>
        </w:rPr>
        <w:t xml:space="preserve">Žádám o informace týkající se výměny dat s bankami.  </w:t>
      </w:r>
    </w:p>
    <w:p w14:paraId="54D047C9" w14:textId="77777777" w:rsidR="00DE7496" w:rsidRPr="00DE7496" w:rsidRDefault="00DE7496" w:rsidP="00DE7496">
      <w:pPr>
        <w:spacing w:after="100" w:afterAutospacing="1" w:line="276" w:lineRule="auto"/>
        <w:rPr>
          <w:rFonts w:ascii="Arial" w:eastAsia="Arial" w:hAnsi="Arial" w:cs="Arial"/>
          <w:color w:val="000000"/>
          <w:spacing w:val="-2"/>
          <w:sz w:val="22"/>
          <w:szCs w:val="22"/>
        </w:rPr>
      </w:pPr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>1) V jakých formátech dat (např̌. CSV, XML, PDF) reportují banky informace na vyžádání dle § 57 odst. 3 zákona č. 280/2009 Sb., daňového řádu (dále jen „DŘ“)?</w:t>
      </w:r>
    </w:p>
    <w:p w14:paraId="555ED6F7" w14:textId="77777777" w:rsidR="00DE7496" w:rsidRPr="00DE7496" w:rsidRDefault="00DE7496" w:rsidP="00DE7496">
      <w:pPr>
        <w:spacing w:after="100" w:afterAutospacing="1" w:line="276" w:lineRule="auto"/>
        <w:rPr>
          <w:rFonts w:ascii="Arial" w:eastAsia="Arial" w:hAnsi="Arial" w:cs="Arial"/>
          <w:color w:val="000000"/>
          <w:spacing w:val="-2"/>
          <w:sz w:val="22"/>
          <w:szCs w:val="22"/>
        </w:rPr>
      </w:pPr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>2) Prosím o popis úrovně detailu (např̌. výpis, agregovaný souhrn či datově strukturovaný soubor na úrovni transakcí či jiné) reportů poskytovaných orgánům finanční správy dle § 57 odst. 3 písm. c) DŘ.</w:t>
      </w:r>
    </w:p>
    <w:p w14:paraId="32699F9E" w14:textId="77777777" w:rsidR="00DE7496" w:rsidRPr="00DE7496" w:rsidRDefault="00DE7496" w:rsidP="00DE7496">
      <w:pPr>
        <w:spacing w:after="100" w:afterAutospacing="1" w:line="276" w:lineRule="auto"/>
        <w:rPr>
          <w:rFonts w:ascii="Arial" w:eastAsia="Arial" w:hAnsi="Arial" w:cs="Arial"/>
          <w:color w:val="000000"/>
          <w:spacing w:val="-2"/>
          <w:sz w:val="22"/>
          <w:szCs w:val="22"/>
        </w:rPr>
      </w:pPr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>3) Jaké́ je minimální povinné́ datové́ pole u reportů dle § 57 odst. 3 písm. c) DŘ (datový slovník)? Prosím o uvedení názvu pole, významu, datového typu, povinnosti/volitelnosti a příkladové́ hodnoty.</w:t>
      </w:r>
    </w:p>
    <w:p w14:paraId="191D3ABB" w14:textId="77777777" w:rsidR="00DE7496" w:rsidRPr="00DE7496" w:rsidRDefault="00DE7496" w:rsidP="00DE7496">
      <w:pPr>
        <w:spacing w:after="100" w:afterAutospacing="1" w:line="276" w:lineRule="auto"/>
        <w:rPr>
          <w:rFonts w:ascii="Arial" w:eastAsia="Arial" w:hAnsi="Arial" w:cs="Arial"/>
          <w:color w:val="000000"/>
          <w:spacing w:val="-2"/>
          <w:sz w:val="22"/>
          <w:szCs w:val="22"/>
        </w:rPr>
      </w:pPr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>4) Prosím o poskytnutí anonymizované́ ukázky či vzorových šablon reportů dle bodu 2) této Žádosti.</w:t>
      </w:r>
    </w:p>
    <w:p w14:paraId="1162D29B" w14:textId="77777777" w:rsidR="00DE7496" w:rsidRPr="00DE7496" w:rsidRDefault="00DE7496" w:rsidP="00DE7496">
      <w:pPr>
        <w:spacing w:after="100" w:afterAutospacing="1" w:line="276" w:lineRule="auto"/>
        <w:rPr>
          <w:rFonts w:ascii="Arial" w:eastAsia="Arial" w:hAnsi="Arial" w:cs="Arial"/>
          <w:color w:val="000000"/>
          <w:spacing w:val="-2"/>
          <w:sz w:val="22"/>
          <w:szCs w:val="22"/>
        </w:rPr>
      </w:pPr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 xml:space="preserve">5) Jakým způsobem (datová schránka, </w:t>
      </w:r>
      <w:proofErr w:type="spellStart"/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>ePodatelna</w:t>
      </w:r>
      <w:proofErr w:type="spellEnd"/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 xml:space="preserve">, zvláštní systém) probíhá doručování dat uvedených v bodě 2) této Žádosti? </w:t>
      </w:r>
    </w:p>
    <w:p w14:paraId="17517CD2" w14:textId="11C0D718" w:rsidR="00DE7496" w:rsidRPr="00DE7496" w:rsidRDefault="00DE7496" w:rsidP="00DE7496">
      <w:pPr>
        <w:spacing w:after="100" w:afterAutospacing="1" w:line="276" w:lineRule="auto"/>
        <w:rPr>
          <w:rFonts w:ascii="Arial" w:eastAsia="Arial" w:hAnsi="Arial" w:cs="Arial"/>
          <w:color w:val="000000"/>
          <w:spacing w:val="-2"/>
          <w:sz w:val="22"/>
          <w:szCs w:val="22"/>
        </w:rPr>
      </w:pPr>
      <w:r>
        <w:rPr>
          <w:rFonts w:ascii="Arial" w:eastAsia="Arial" w:hAnsi="Arial" w:cs="Arial"/>
          <w:color w:val="000000"/>
          <w:spacing w:val="-2"/>
          <w:sz w:val="22"/>
          <w:szCs w:val="22"/>
        </w:rPr>
        <w:t>6</w:t>
      </w:r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>) Existují rámcové́ dohody či ustálená praxe mezi orgány finanční správy a subjekty uvedenými v § 57 odst. 3 DŘ, o rozsahu a způsobu poskytování informací (vč. dohod ve smyslu § 58 odst. 2 DŘ)? Pokud ano, prosím o jejich poskytnutí.</w:t>
      </w:r>
    </w:p>
    <w:p w14:paraId="2C2E501E" w14:textId="16A1D5DA" w:rsidR="00DE7496" w:rsidRPr="00DE7496" w:rsidRDefault="00DE7496" w:rsidP="00DE7496">
      <w:pPr>
        <w:spacing w:after="100" w:afterAutospacing="1" w:line="276" w:lineRule="auto"/>
        <w:rPr>
          <w:rFonts w:ascii="Arial" w:eastAsia="Arial" w:hAnsi="Arial" w:cs="Arial"/>
          <w:color w:val="000000"/>
          <w:spacing w:val="-2"/>
          <w:sz w:val="22"/>
          <w:szCs w:val="22"/>
        </w:rPr>
      </w:pPr>
      <w:r>
        <w:rPr>
          <w:rFonts w:ascii="Arial" w:eastAsia="Arial" w:hAnsi="Arial" w:cs="Arial"/>
          <w:color w:val="000000"/>
          <w:spacing w:val="-2"/>
          <w:sz w:val="22"/>
          <w:szCs w:val="22"/>
        </w:rPr>
        <w:t>7</w:t>
      </w:r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 xml:space="preserve">) Prosím o anonymizovanou ukázku (1 soubor/1 balíček) reportů poskytnutých dle § 57 odst. 3 písm. c) DŘ od každého z níže uvedených subjektů. Pokud není možné́ poskytnout ukázku, prosím alespoň o datový slovník/rozsah polí a strukturu souboru: </w:t>
      </w:r>
    </w:p>
    <w:p w14:paraId="07C461D9" w14:textId="15980A59" w:rsidR="00DE7496" w:rsidRPr="00DE7496" w:rsidRDefault="00DE7496" w:rsidP="00DE7496">
      <w:pPr>
        <w:pStyle w:val="Odstavecseseznamem"/>
        <w:numPr>
          <w:ilvl w:val="0"/>
          <w:numId w:val="2"/>
        </w:numPr>
        <w:spacing w:after="100" w:afterAutospacing="1" w:line="276" w:lineRule="auto"/>
        <w:rPr>
          <w:rFonts w:ascii="Arial" w:eastAsia="Arial" w:hAnsi="Arial" w:cs="Arial"/>
          <w:color w:val="000000"/>
          <w:spacing w:val="-2"/>
          <w:sz w:val="22"/>
          <w:szCs w:val="22"/>
        </w:rPr>
      </w:pPr>
      <w:proofErr w:type="spellStart"/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>Revolut</w:t>
      </w:r>
      <w:proofErr w:type="spellEnd"/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 xml:space="preserve"> </w:t>
      </w:r>
    </w:p>
    <w:p w14:paraId="13EA783C" w14:textId="109DD159" w:rsidR="00DE7496" w:rsidRPr="00DE7496" w:rsidRDefault="00DE7496" w:rsidP="00DE7496">
      <w:pPr>
        <w:pStyle w:val="Odstavecseseznamem"/>
        <w:numPr>
          <w:ilvl w:val="0"/>
          <w:numId w:val="2"/>
        </w:numPr>
        <w:spacing w:after="100" w:afterAutospacing="1" w:line="276" w:lineRule="auto"/>
        <w:rPr>
          <w:rFonts w:ascii="Arial" w:eastAsia="Arial" w:hAnsi="Arial" w:cs="Arial"/>
          <w:color w:val="000000"/>
          <w:spacing w:val="-2"/>
          <w:sz w:val="22"/>
          <w:szCs w:val="22"/>
        </w:rPr>
      </w:pPr>
      <w:proofErr w:type="spellStart"/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>Interactive</w:t>
      </w:r>
      <w:proofErr w:type="spellEnd"/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 xml:space="preserve"> </w:t>
      </w:r>
      <w:proofErr w:type="spellStart"/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>Brokers</w:t>
      </w:r>
      <w:proofErr w:type="spellEnd"/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 xml:space="preserve">, </w:t>
      </w:r>
    </w:p>
    <w:p w14:paraId="25134454" w14:textId="436990AF" w:rsidR="00DE7496" w:rsidRPr="00DE7496" w:rsidRDefault="00DE7496" w:rsidP="00DE7496">
      <w:pPr>
        <w:pStyle w:val="Odstavecseseznamem"/>
        <w:numPr>
          <w:ilvl w:val="0"/>
          <w:numId w:val="2"/>
        </w:numPr>
        <w:spacing w:after="100" w:afterAutospacing="1" w:line="276" w:lineRule="auto"/>
        <w:rPr>
          <w:rFonts w:ascii="Arial" w:eastAsia="Arial" w:hAnsi="Arial" w:cs="Arial"/>
          <w:color w:val="000000"/>
          <w:spacing w:val="-2"/>
          <w:sz w:val="22"/>
          <w:szCs w:val="22"/>
        </w:rPr>
      </w:pPr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 xml:space="preserve">XTB </w:t>
      </w:r>
    </w:p>
    <w:p w14:paraId="6F311CA2" w14:textId="7542859C" w:rsidR="00DE7496" w:rsidRPr="00DE7496" w:rsidRDefault="00DE7496" w:rsidP="00DE7496">
      <w:pPr>
        <w:pStyle w:val="Odstavecseseznamem"/>
        <w:numPr>
          <w:ilvl w:val="0"/>
          <w:numId w:val="2"/>
        </w:numPr>
        <w:spacing w:after="100" w:afterAutospacing="1" w:line="276" w:lineRule="auto"/>
        <w:rPr>
          <w:rFonts w:ascii="Arial" w:eastAsia="Arial" w:hAnsi="Arial" w:cs="Arial"/>
          <w:color w:val="000000"/>
          <w:spacing w:val="-2"/>
          <w:sz w:val="22"/>
          <w:szCs w:val="22"/>
        </w:rPr>
      </w:pPr>
      <w:proofErr w:type="spellStart"/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>Trading</w:t>
      </w:r>
      <w:proofErr w:type="spellEnd"/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 xml:space="preserve"> 212 </w:t>
      </w:r>
    </w:p>
    <w:p w14:paraId="4A24760D" w14:textId="5E92F056" w:rsidR="00DE7496" w:rsidRPr="00DE7496" w:rsidRDefault="00DE7496" w:rsidP="00DE7496">
      <w:pPr>
        <w:pStyle w:val="Odstavecseseznamem"/>
        <w:numPr>
          <w:ilvl w:val="0"/>
          <w:numId w:val="2"/>
        </w:numPr>
        <w:spacing w:after="100" w:afterAutospacing="1" w:line="276" w:lineRule="auto"/>
        <w:rPr>
          <w:rFonts w:ascii="Arial" w:eastAsia="Arial" w:hAnsi="Arial" w:cs="Arial"/>
          <w:color w:val="000000"/>
          <w:spacing w:val="-2"/>
          <w:sz w:val="22"/>
          <w:szCs w:val="22"/>
        </w:rPr>
      </w:pPr>
      <w:proofErr w:type="spellStart"/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>Freedom</w:t>
      </w:r>
      <w:proofErr w:type="spellEnd"/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 xml:space="preserve"> 24 </w:t>
      </w:r>
    </w:p>
    <w:p w14:paraId="73D1ACA8" w14:textId="626DE991" w:rsidR="00DE7496" w:rsidRPr="00DE7496" w:rsidRDefault="00DE7496" w:rsidP="00DE7496">
      <w:pPr>
        <w:spacing w:after="100" w:afterAutospacing="1" w:line="276" w:lineRule="auto"/>
        <w:rPr>
          <w:rFonts w:ascii="Arial" w:eastAsia="Arial" w:hAnsi="Arial" w:cs="Arial"/>
          <w:color w:val="000000"/>
          <w:spacing w:val="-2"/>
          <w:sz w:val="22"/>
          <w:szCs w:val="22"/>
        </w:rPr>
      </w:pPr>
      <w:r>
        <w:rPr>
          <w:rFonts w:ascii="Arial" w:eastAsia="Arial" w:hAnsi="Arial" w:cs="Arial"/>
          <w:color w:val="000000"/>
          <w:spacing w:val="-2"/>
          <w:sz w:val="22"/>
          <w:szCs w:val="22"/>
        </w:rPr>
        <w:t>8</w:t>
      </w:r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 xml:space="preserve">) Existují interní </w:t>
      </w:r>
      <w:proofErr w:type="spellStart"/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>metodicke</w:t>
      </w:r>
      <w:proofErr w:type="spellEnd"/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 xml:space="preserve">́ pokyny finanční správy k </w:t>
      </w:r>
      <w:proofErr w:type="spellStart"/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>vyžádání</w:t>
      </w:r>
      <w:proofErr w:type="spellEnd"/>
      <w:r w:rsidRPr="00DE7496">
        <w:rPr>
          <w:rFonts w:ascii="Arial" w:eastAsia="Arial" w:hAnsi="Arial" w:cs="Arial"/>
          <w:color w:val="000000"/>
          <w:spacing w:val="-2"/>
          <w:sz w:val="22"/>
          <w:szCs w:val="22"/>
        </w:rPr>
        <w:t xml:space="preserve"> dle § 57 odst. 3 DŘ? Pokud ano, prosím o jejich poskytnutí.</w:t>
      </w:r>
    </w:p>
    <w:p w14:paraId="7D9B53E4" w14:textId="2E8C9C20" w:rsidR="00DE7496" w:rsidRDefault="00DE7496">
      <w:pPr>
        <w:spacing w:after="160" w:line="259" w:lineRule="auto"/>
        <w:rPr>
          <w:rFonts w:ascii="Arial" w:eastAsia="Arial" w:hAnsi="Arial" w:cs="Arial"/>
          <w:color w:val="000000"/>
          <w:spacing w:val="-2"/>
          <w:sz w:val="24"/>
        </w:rPr>
      </w:pPr>
      <w:r>
        <w:rPr>
          <w:rFonts w:ascii="Arial" w:eastAsia="Arial" w:hAnsi="Arial" w:cs="Arial"/>
          <w:color w:val="000000"/>
          <w:spacing w:val="-2"/>
          <w:sz w:val="24"/>
        </w:rPr>
        <w:br w:type="page"/>
      </w:r>
    </w:p>
    <w:p w14:paraId="31F663DD" w14:textId="4A9826F4" w:rsidR="00DE7496" w:rsidRPr="00DE7496" w:rsidRDefault="00DE7496" w:rsidP="00DE7496">
      <w:pPr>
        <w:spacing w:after="100" w:afterAutospacing="1" w:line="232" w:lineRule="auto"/>
        <w:rPr>
          <w:rFonts w:ascii="Arial" w:eastAsia="Arial" w:hAnsi="Arial" w:cs="Arial"/>
          <w:b/>
          <w:bCs/>
          <w:color w:val="000000"/>
          <w:spacing w:val="-2"/>
          <w:sz w:val="24"/>
        </w:rPr>
      </w:pPr>
      <w:r w:rsidRPr="00DE7496">
        <w:rPr>
          <w:rFonts w:ascii="Arial" w:eastAsia="Arial" w:hAnsi="Arial" w:cs="Arial"/>
          <w:b/>
          <w:bCs/>
          <w:color w:val="000000"/>
          <w:spacing w:val="-2"/>
          <w:sz w:val="24"/>
        </w:rPr>
        <w:lastRenderedPageBreak/>
        <w:t xml:space="preserve">Odpověď: </w:t>
      </w:r>
    </w:p>
    <w:p w14:paraId="5E690A7D" w14:textId="77777777" w:rsidR="00DE7496" w:rsidRPr="00DE7496" w:rsidRDefault="00DE7496" w:rsidP="00DE749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</w:rPr>
      </w:pPr>
      <w:r w:rsidRPr="00DE7496">
        <w:rPr>
          <w:rFonts w:ascii="Arial" w:eastAsiaTheme="minorHAnsi" w:hAnsi="Arial" w:cs="Arial"/>
          <w:sz w:val="22"/>
          <w:szCs w:val="22"/>
        </w:rPr>
        <w:t xml:space="preserve">Ad 1) </w:t>
      </w:r>
    </w:p>
    <w:p w14:paraId="7EC45358" w14:textId="77777777" w:rsidR="00DE7496" w:rsidRPr="00DE7496" w:rsidRDefault="00DE7496" w:rsidP="00DE749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</w:rPr>
      </w:pPr>
      <w:r w:rsidRPr="00DE7496">
        <w:rPr>
          <w:rFonts w:ascii="Arial" w:eastAsiaTheme="minorHAnsi" w:hAnsi="Arial" w:cs="Arial"/>
          <w:sz w:val="22"/>
          <w:szCs w:val="22"/>
        </w:rPr>
        <w:t>Povinný subjekt nemá k dispozici ucelený přehled formátů souborů, které bankovní instituce poskytují coby součásti odpovědí na výzvy podle § 57 odst. 3 zákona č. 280/2009 Sb., daňového řádu (dále jen „daňový řád“). Lze uvést, že nejčastěji využívané formáty zahrnují například:</w:t>
      </w:r>
    </w:p>
    <w:p w14:paraId="4CBE536D" w14:textId="77777777" w:rsidR="00DE7496" w:rsidRPr="00DE7496" w:rsidRDefault="00DE7496" w:rsidP="00DE7496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22"/>
          <w:szCs w:val="22"/>
        </w:rPr>
      </w:pPr>
      <w:r w:rsidRPr="00DE7496">
        <w:rPr>
          <w:rFonts w:ascii="Arial" w:eastAsiaTheme="minorHAnsi" w:hAnsi="Arial" w:cs="Arial"/>
          <w:sz w:val="22"/>
          <w:szCs w:val="22"/>
        </w:rPr>
        <w:t xml:space="preserve">Microsoft Excel (XLS, XLSX), </w:t>
      </w:r>
    </w:p>
    <w:p w14:paraId="3C934B33" w14:textId="77777777" w:rsidR="00DE7496" w:rsidRPr="00DE7496" w:rsidRDefault="00DE7496" w:rsidP="00DE7496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22"/>
          <w:szCs w:val="22"/>
        </w:rPr>
      </w:pPr>
      <w:r w:rsidRPr="00DE7496">
        <w:rPr>
          <w:rFonts w:ascii="Arial" w:eastAsiaTheme="minorHAnsi" w:hAnsi="Arial" w:cs="Arial"/>
          <w:sz w:val="22"/>
          <w:szCs w:val="22"/>
        </w:rPr>
        <w:t xml:space="preserve">XML soubor (XML), </w:t>
      </w:r>
    </w:p>
    <w:p w14:paraId="79B8ABC1" w14:textId="77777777" w:rsidR="00DE7496" w:rsidRPr="00DE7496" w:rsidRDefault="00DE7496" w:rsidP="00DE7496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22"/>
          <w:szCs w:val="22"/>
        </w:rPr>
      </w:pPr>
      <w:r w:rsidRPr="00DE7496">
        <w:rPr>
          <w:rFonts w:ascii="Arial" w:eastAsiaTheme="minorHAnsi" w:hAnsi="Arial" w:cs="Arial"/>
          <w:sz w:val="22"/>
          <w:szCs w:val="22"/>
        </w:rPr>
        <w:t>tiskové sestavy (TXT, CSV, PDF).</w:t>
      </w:r>
    </w:p>
    <w:p w14:paraId="3CA20F36" w14:textId="77777777" w:rsidR="00DE7496" w:rsidRPr="00DE7496" w:rsidRDefault="00DE7496" w:rsidP="00DE749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</w:rPr>
      </w:pPr>
    </w:p>
    <w:p w14:paraId="302E6D73" w14:textId="5F26F589" w:rsidR="00DE7496" w:rsidRPr="00DE7496" w:rsidRDefault="00DE7496" w:rsidP="00DE749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</w:rPr>
      </w:pPr>
      <w:r w:rsidRPr="00DE7496">
        <w:rPr>
          <w:rFonts w:ascii="Arial" w:eastAsiaTheme="minorHAnsi" w:hAnsi="Arial" w:cs="Arial"/>
          <w:sz w:val="22"/>
          <w:szCs w:val="22"/>
        </w:rPr>
        <w:t xml:space="preserve">Ad 2), 3) a </w:t>
      </w:r>
      <w:r>
        <w:rPr>
          <w:rFonts w:ascii="Arial" w:eastAsiaTheme="minorHAnsi" w:hAnsi="Arial" w:cs="Arial"/>
          <w:sz w:val="22"/>
          <w:szCs w:val="22"/>
        </w:rPr>
        <w:t>6</w:t>
      </w:r>
      <w:r w:rsidRPr="00DE7496">
        <w:rPr>
          <w:rFonts w:ascii="Arial" w:eastAsiaTheme="minorHAnsi" w:hAnsi="Arial" w:cs="Arial"/>
          <w:sz w:val="22"/>
          <w:szCs w:val="22"/>
        </w:rPr>
        <w:t>)</w:t>
      </w:r>
    </w:p>
    <w:p w14:paraId="00299EA9" w14:textId="77777777" w:rsidR="00DE7496" w:rsidRPr="00DE7496" w:rsidRDefault="00DE7496" w:rsidP="00DE749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</w:rPr>
      </w:pPr>
      <w:r w:rsidRPr="00DE7496">
        <w:rPr>
          <w:rFonts w:ascii="Arial" w:eastAsiaTheme="minorHAnsi" w:hAnsi="Arial" w:cs="Arial"/>
          <w:sz w:val="22"/>
          <w:szCs w:val="22"/>
        </w:rPr>
        <w:t xml:space="preserve">Rozsah dotazů, resp. odpovědí, je různý a odpovídá cíli postupů při správě daní. V daném případě lze odkázat na zdroj obsahující dokumentaci standardů výměny „Standard č. 17“, který naleznete zde: </w:t>
      </w:r>
      <w:hyperlink r:id="rId5" w:history="1">
        <w:r w:rsidRPr="00DE7496">
          <w:rPr>
            <w:rStyle w:val="Hypertextovodkaz"/>
            <w:rFonts w:ascii="Arial" w:eastAsiaTheme="minorHAnsi" w:hAnsi="Arial" w:cs="Arial"/>
            <w:sz w:val="22"/>
            <w:szCs w:val="22"/>
          </w:rPr>
          <w:t>https://www.cbaonline.cz/clanky/vymena-bankovnich-dat-s-opravnenymi-organy</w:t>
        </w:r>
      </w:hyperlink>
    </w:p>
    <w:p w14:paraId="57B8709E" w14:textId="77777777" w:rsidR="00DE7496" w:rsidRPr="00DE7496" w:rsidRDefault="00DE7496" w:rsidP="00DE749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</w:rPr>
      </w:pPr>
    </w:p>
    <w:p w14:paraId="59C53238" w14:textId="2EFC4284" w:rsidR="00DE7496" w:rsidRPr="00DE7496" w:rsidRDefault="00DE7496" w:rsidP="00DE749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</w:rPr>
      </w:pPr>
      <w:r w:rsidRPr="00DE7496">
        <w:rPr>
          <w:rFonts w:ascii="Arial" w:eastAsiaTheme="minorHAnsi" w:hAnsi="Arial" w:cs="Arial"/>
          <w:sz w:val="22"/>
          <w:szCs w:val="22"/>
        </w:rPr>
        <w:t xml:space="preserve">Ad 4) a </w:t>
      </w:r>
      <w:r>
        <w:rPr>
          <w:rFonts w:ascii="Arial" w:eastAsiaTheme="minorHAnsi" w:hAnsi="Arial" w:cs="Arial"/>
          <w:sz w:val="22"/>
          <w:szCs w:val="22"/>
        </w:rPr>
        <w:t>7</w:t>
      </w:r>
      <w:r w:rsidRPr="00DE7496">
        <w:rPr>
          <w:rFonts w:ascii="Arial" w:eastAsiaTheme="minorHAnsi" w:hAnsi="Arial" w:cs="Arial"/>
          <w:sz w:val="22"/>
          <w:szCs w:val="22"/>
        </w:rPr>
        <w:t>)</w:t>
      </w:r>
    </w:p>
    <w:p w14:paraId="7D2467E1" w14:textId="77777777" w:rsidR="00DE7496" w:rsidRPr="00DE7496" w:rsidRDefault="00DE7496" w:rsidP="00DE749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</w:rPr>
      </w:pPr>
      <w:r w:rsidRPr="00DE7496">
        <w:rPr>
          <w:rFonts w:ascii="Arial" w:eastAsiaTheme="minorHAnsi" w:hAnsi="Arial" w:cs="Arial"/>
          <w:sz w:val="22"/>
          <w:szCs w:val="22"/>
        </w:rPr>
        <w:t>Povinný subjekt upozorňuje, že není zřejmé, k jakému typu dotazu je požadavek na poskytnutí reportu vznášen a o jakou „šablonu“ reportu se má jednat. Pro představu byl zpracován 1 typ odpovědi, který naleznete v příloze tohoto přípisu. Pokud žádáte o jiný, je nezbytné pregnantně určit typ dotazu a odpovědi na dotaz a následně určit, zda se jedná o „šablonu“ reportu banky či importní šablonu orgánu státní správy. Upozorňujeme, že od jedné instituce je může být až 250 typů odpovědí, a to v závislosti na produktech dané instituce a zpracování takovéto informace by s jistotou podléhalo náhradě nákladů dle § 17 odst. 1 InfZ.</w:t>
      </w:r>
    </w:p>
    <w:p w14:paraId="78B22543" w14:textId="77777777" w:rsidR="00DE7496" w:rsidRPr="00DE7496" w:rsidRDefault="00DE7496" w:rsidP="00DE749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</w:rPr>
      </w:pPr>
    </w:p>
    <w:p w14:paraId="654C655D" w14:textId="77777777" w:rsidR="00DE7496" w:rsidRPr="00DE7496" w:rsidRDefault="00DE7496" w:rsidP="00DE749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</w:rPr>
      </w:pPr>
      <w:r w:rsidRPr="00DE7496">
        <w:rPr>
          <w:rFonts w:ascii="Arial" w:eastAsiaTheme="minorHAnsi" w:hAnsi="Arial" w:cs="Arial"/>
          <w:sz w:val="22"/>
          <w:szCs w:val="22"/>
        </w:rPr>
        <w:t>Ad 5)</w:t>
      </w:r>
    </w:p>
    <w:p w14:paraId="3ED97B86" w14:textId="45DAD897" w:rsidR="00DE7496" w:rsidRPr="00DE7496" w:rsidRDefault="00DE7496" w:rsidP="00DE749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</w:rPr>
      </w:pPr>
      <w:r w:rsidRPr="00DE7496">
        <w:rPr>
          <w:rFonts w:ascii="Arial" w:eastAsiaTheme="minorHAnsi" w:hAnsi="Arial" w:cs="Arial"/>
          <w:sz w:val="22"/>
          <w:szCs w:val="22"/>
        </w:rPr>
        <w:t xml:space="preserve">Způsob doručování odpovědí ze strany bank probíhá prostřednictvím datových zpráv či provozovatele poštovních služeb. Obecné informace týkající se podrobností či technických parametrů o datových schránkách jsou zveřejněny zde: </w:t>
      </w:r>
      <w:hyperlink r:id="rId6" w:history="1">
        <w:r w:rsidRPr="00DE7496">
          <w:rPr>
            <w:rStyle w:val="Hypertextovodkaz"/>
            <w:rFonts w:ascii="Arial" w:eastAsiaTheme="minorHAnsi" w:hAnsi="Arial" w:cs="Arial"/>
            <w:sz w:val="22"/>
            <w:szCs w:val="22"/>
          </w:rPr>
          <w:t>https://info.mojedatovaschranka.cz/info/cs/75.html</w:t>
        </w:r>
      </w:hyperlink>
      <w:r w:rsidRPr="00DE7496">
        <w:rPr>
          <w:rFonts w:ascii="Arial" w:eastAsiaTheme="minorHAnsi" w:hAnsi="Arial" w:cs="Arial"/>
          <w:sz w:val="22"/>
          <w:szCs w:val="22"/>
        </w:rPr>
        <w:t xml:space="preserve">.  </w:t>
      </w:r>
    </w:p>
    <w:p w14:paraId="38649C3F" w14:textId="77777777" w:rsidR="00DE7496" w:rsidRPr="00DE7496" w:rsidRDefault="00DE7496" w:rsidP="00DE749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</w:rPr>
      </w:pPr>
    </w:p>
    <w:p w14:paraId="63C1E3C0" w14:textId="77777777" w:rsidR="00DE7496" w:rsidRPr="00DE7496" w:rsidRDefault="00DE7496" w:rsidP="00DE749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</w:rPr>
      </w:pPr>
    </w:p>
    <w:p w14:paraId="0BDC217B" w14:textId="72E02F95" w:rsidR="00DE7496" w:rsidRPr="00DE7496" w:rsidRDefault="00DE7496" w:rsidP="00DE749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Ad 8</w:t>
      </w:r>
      <w:r w:rsidRPr="00DE7496">
        <w:rPr>
          <w:rFonts w:ascii="Arial" w:eastAsiaTheme="minorHAnsi" w:hAnsi="Arial" w:cs="Arial"/>
          <w:sz w:val="22"/>
          <w:szCs w:val="22"/>
        </w:rPr>
        <w:t xml:space="preserve">) Vás povinný subjekt ve smyslu § 6 InfZ odkazuje na zveřejněné informace, a totiž: </w:t>
      </w:r>
    </w:p>
    <w:p w14:paraId="16FD28D4" w14:textId="77777777" w:rsidR="00DE7496" w:rsidRPr="00DE7496" w:rsidRDefault="00DE7496" w:rsidP="00DE7496">
      <w:pPr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eastAsiaTheme="minorHAnsi" w:hAnsi="Arial" w:cs="Arial"/>
          <w:sz w:val="22"/>
          <w:szCs w:val="22"/>
        </w:rPr>
      </w:pPr>
      <w:r w:rsidRPr="00DE7496">
        <w:rPr>
          <w:rFonts w:ascii="Arial" w:eastAsiaTheme="minorHAnsi" w:hAnsi="Arial" w:cs="Arial"/>
          <w:sz w:val="22"/>
          <w:szCs w:val="22"/>
        </w:rPr>
        <w:t>metodický materiál č. j. 41780/19/7700-10123-050230, „</w:t>
      </w:r>
      <w:r w:rsidRPr="00DE7496">
        <w:rPr>
          <w:rFonts w:ascii="Arial" w:eastAsiaTheme="minorHAnsi" w:hAnsi="Arial" w:cs="Arial"/>
          <w:i/>
          <w:iCs/>
          <w:sz w:val="22"/>
          <w:szCs w:val="22"/>
        </w:rPr>
        <w:t xml:space="preserve">Metodický pokyn k některým možnostem komunikace iniciované správcem daně s třetími osobami“, </w:t>
      </w:r>
      <w:r w:rsidRPr="00DE7496">
        <w:rPr>
          <w:rFonts w:ascii="Arial" w:eastAsiaTheme="minorHAnsi" w:hAnsi="Arial" w:cs="Arial"/>
          <w:sz w:val="22"/>
          <w:szCs w:val="22"/>
        </w:rPr>
        <w:t xml:space="preserve">který je dostupný zde: </w:t>
      </w:r>
      <w:hyperlink r:id="rId7" w:history="1">
        <w:r w:rsidRPr="00DE7496">
          <w:rPr>
            <w:rStyle w:val="Hypertextovodkaz"/>
            <w:rFonts w:ascii="Arial" w:eastAsiaTheme="minorHAnsi" w:hAnsi="Arial" w:cs="Arial"/>
            <w:sz w:val="22"/>
            <w:szCs w:val="22"/>
          </w:rPr>
          <w:t>https://www.financnisprava.cz/cs/dane/danovy-proces/metodika/metodika</w:t>
        </w:r>
      </w:hyperlink>
      <w:r w:rsidRPr="00DE7496">
        <w:rPr>
          <w:rFonts w:ascii="Arial" w:eastAsiaTheme="minorHAnsi" w:hAnsi="Arial" w:cs="Arial"/>
          <w:sz w:val="22"/>
          <w:szCs w:val="22"/>
        </w:rPr>
        <w:t xml:space="preserve"> (zveřejněn dne 2. 10. 2019). </w:t>
      </w:r>
    </w:p>
    <w:p w14:paraId="091408E3" w14:textId="77777777" w:rsidR="00DE7496" w:rsidRPr="00DE7496" w:rsidRDefault="00DE7496" w:rsidP="00DE749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</w:rPr>
      </w:pPr>
      <w:r w:rsidRPr="00DE7496">
        <w:rPr>
          <w:rFonts w:ascii="Arial" w:eastAsiaTheme="minorHAnsi" w:hAnsi="Arial" w:cs="Arial"/>
          <w:sz w:val="22"/>
          <w:szCs w:val="22"/>
        </w:rPr>
        <w:t xml:space="preserve">Dále lze úpravu k § 57 daňového řádu okrajově nalézt v dokumentech: </w:t>
      </w:r>
    </w:p>
    <w:p w14:paraId="60A5A4F6" w14:textId="77777777" w:rsidR="00DE7496" w:rsidRPr="00DE7496" w:rsidRDefault="00DE7496" w:rsidP="00DE7496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eastAsiaTheme="minorHAnsi" w:hAnsi="Arial" w:cs="Arial"/>
          <w:sz w:val="22"/>
          <w:szCs w:val="22"/>
        </w:rPr>
      </w:pPr>
      <w:r w:rsidRPr="00DE7496">
        <w:rPr>
          <w:rFonts w:ascii="Arial" w:eastAsiaTheme="minorHAnsi" w:hAnsi="Arial" w:cs="Arial"/>
          <w:sz w:val="22"/>
          <w:szCs w:val="22"/>
        </w:rPr>
        <w:t xml:space="preserve">Metodický pokyn k procesním aspektům daňové kontroly, č. j. 36381/22/7700-10124-506246 – též zveřejněn na webových stránkách povinného subjektu – dostupný zde </w:t>
      </w:r>
      <w:hyperlink r:id="rId8" w:history="1">
        <w:r w:rsidRPr="00DE7496">
          <w:rPr>
            <w:rStyle w:val="Hypertextovodkaz"/>
            <w:rFonts w:ascii="Arial" w:eastAsiaTheme="minorHAnsi" w:hAnsi="Arial" w:cs="Arial"/>
            <w:sz w:val="22"/>
            <w:szCs w:val="22"/>
          </w:rPr>
          <w:t>https://www.financnisprava.cz/cs/dane/danovy-proces/metodika/metodika/metodicky-pokyn-k-procesnim-aspektum</w:t>
        </w:r>
      </w:hyperlink>
      <w:r w:rsidRPr="00DE7496">
        <w:rPr>
          <w:rFonts w:ascii="Arial" w:eastAsiaTheme="minorHAnsi" w:hAnsi="Arial" w:cs="Arial"/>
          <w:sz w:val="22"/>
          <w:szCs w:val="22"/>
        </w:rPr>
        <w:t>.</w:t>
      </w:r>
    </w:p>
    <w:p w14:paraId="4DB6498F" w14:textId="77777777" w:rsidR="00DE7496" w:rsidRPr="00DE7496" w:rsidRDefault="00DE7496" w:rsidP="00DE7496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eastAsiaTheme="minorHAnsi" w:hAnsi="Arial" w:cs="Arial"/>
          <w:sz w:val="22"/>
          <w:szCs w:val="22"/>
        </w:rPr>
      </w:pPr>
      <w:r w:rsidRPr="00DE7496">
        <w:rPr>
          <w:rFonts w:ascii="Arial" w:eastAsiaTheme="minorHAnsi" w:hAnsi="Arial" w:cs="Arial"/>
          <w:sz w:val="22"/>
          <w:szCs w:val="22"/>
        </w:rPr>
        <w:t xml:space="preserve">Metodický pokyn k přechodu daňové povinnosti u fyzických osob po 1. 1. 2014, druhé novelizované znění, č. j. 64070/18/7700-10126-013989 – dostupný zde: </w:t>
      </w:r>
      <w:hyperlink r:id="rId9" w:history="1">
        <w:r w:rsidRPr="00DE7496">
          <w:rPr>
            <w:rStyle w:val="Hypertextovodkaz"/>
            <w:rFonts w:ascii="Arial" w:eastAsiaTheme="minorHAnsi" w:hAnsi="Arial" w:cs="Arial"/>
            <w:sz w:val="22"/>
            <w:szCs w:val="22"/>
          </w:rPr>
          <w:t>https://www.financnisprava.cz/assets/cs/prilohy/d-sprava-dani-a-poplatku/64070-18-10126_MP-k-prechodu-danove-povinnosti-2.zip</w:t>
        </w:r>
      </w:hyperlink>
      <w:r w:rsidRPr="00DE7496">
        <w:rPr>
          <w:rFonts w:ascii="Arial" w:eastAsiaTheme="minorHAnsi" w:hAnsi="Arial" w:cs="Arial"/>
          <w:sz w:val="22"/>
          <w:szCs w:val="22"/>
        </w:rPr>
        <w:t>.</w:t>
      </w:r>
    </w:p>
    <w:p w14:paraId="6530C4C5" w14:textId="77777777" w:rsidR="00DE7496" w:rsidRPr="00DE7496" w:rsidRDefault="00DE7496" w:rsidP="00DE749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</w:rPr>
      </w:pPr>
      <w:r w:rsidRPr="00DE7496">
        <w:rPr>
          <w:rFonts w:ascii="Arial" w:eastAsiaTheme="minorHAnsi" w:hAnsi="Arial" w:cs="Arial"/>
          <w:sz w:val="22"/>
          <w:szCs w:val="22"/>
        </w:rPr>
        <w:t>Jiné materiály, které by se požadovanému tématu věnovaly, vydány nebyly.</w:t>
      </w:r>
    </w:p>
    <w:p w14:paraId="7C48DEF8" w14:textId="77777777" w:rsidR="001E1838" w:rsidRPr="00DE7496" w:rsidRDefault="001E1838" w:rsidP="00DE7496">
      <w:pPr>
        <w:spacing w:after="100" w:afterAutospacing="1"/>
        <w:rPr>
          <w:rFonts w:ascii="Arial" w:hAnsi="Arial" w:cs="Arial"/>
          <w:sz w:val="22"/>
          <w:szCs w:val="22"/>
        </w:rPr>
      </w:pPr>
    </w:p>
    <w:p w14:paraId="6BB744E0" w14:textId="77777777" w:rsidR="00DE7496" w:rsidRDefault="00DE7496" w:rsidP="00DE7496">
      <w:pPr>
        <w:spacing w:after="100" w:afterAutospacing="1"/>
      </w:pPr>
    </w:p>
    <w:sectPr w:rsidR="00DE7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B2A8A"/>
    <w:multiLevelType w:val="hybridMultilevel"/>
    <w:tmpl w:val="34A279EA"/>
    <w:lvl w:ilvl="0" w:tplc="F57AFC56">
      <w:numFmt w:val="bullet"/>
      <w:lvlText w:val="-"/>
      <w:lvlJc w:val="left"/>
      <w:pPr>
        <w:ind w:left="720" w:hanging="360"/>
      </w:pPr>
      <w:rPr>
        <w:rFonts w:ascii="Arial" w:eastAsia="Aptos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95192"/>
    <w:multiLevelType w:val="hybridMultilevel"/>
    <w:tmpl w:val="427CEE18"/>
    <w:lvl w:ilvl="0" w:tplc="AA8E74A4">
      <w:start w:val="10"/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C7ED6"/>
    <w:multiLevelType w:val="hybridMultilevel"/>
    <w:tmpl w:val="76CE2A8E"/>
    <w:lvl w:ilvl="0" w:tplc="BC2C7C28">
      <w:numFmt w:val="bullet"/>
      <w:lvlText w:val="•"/>
      <w:lvlJc w:val="left"/>
      <w:pPr>
        <w:ind w:left="1065" w:hanging="705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091389"/>
    <w:multiLevelType w:val="hybridMultilevel"/>
    <w:tmpl w:val="22B24E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0C4766"/>
    <w:multiLevelType w:val="hybridMultilevel"/>
    <w:tmpl w:val="A25C4A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569372">
    <w:abstractNumId w:val="4"/>
  </w:num>
  <w:num w:numId="2" w16cid:durableId="789595312">
    <w:abstractNumId w:val="2"/>
  </w:num>
  <w:num w:numId="3" w16cid:durableId="889416309">
    <w:abstractNumId w:val="3"/>
  </w:num>
  <w:num w:numId="4" w16cid:durableId="739838317">
    <w:abstractNumId w:val="1"/>
  </w:num>
  <w:num w:numId="5" w16cid:durableId="745373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496"/>
    <w:rsid w:val="001E1838"/>
    <w:rsid w:val="001F6036"/>
    <w:rsid w:val="0039549D"/>
    <w:rsid w:val="0063463A"/>
    <w:rsid w:val="008A4FD7"/>
    <w:rsid w:val="00DE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AC7AF"/>
  <w15:chartTrackingRefBased/>
  <w15:docId w15:val="{477E9DF0-19A1-4F37-90B3-E70B75C12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E7496"/>
    <w:pPr>
      <w:spacing w:after="0" w:line="240" w:lineRule="auto"/>
    </w:pPr>
    <w:rPr>
      <w:rFonts w:eastAsiaTheme="minorEastAsia"/>
      <w:sz w:val="2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E74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E74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E74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E74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E74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E74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E74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E74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E74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E74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E74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E74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E749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E749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E749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E749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E749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E749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E74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E74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E74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E74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E74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E749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E749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E749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E74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E749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E7496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DE7496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inancnisprava.cz/cs/dane/danovy-proces/metodika/metodika/metodicky-pokyn-k-procesnim-aspektu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inancnisprava.cz/cs/dane/danovy-proces/metodika/metodi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.mojedatovaschranka.cz/info/cs/75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baonline.cz/clanky/vymena-bankovnich-dat-s-opravnenymi-organy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financnisprava.cz/assets/cs/prilohy/d-sprava-dani-a-poplatku/64070-18-10126_MP-k-prechodu-danove-povinnosti-2.zip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681</Words>
  <Characters>4020</Characters>
  <Application>Microsoft Office Word</Application>
  <DocSecurity>0</DocSecurity>
  <Lines>33</Lines>
  <Paragraphs>9</Paragraphs>
  <ScaleCrop>false</ScaleCrop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1</cp:revision>
  <dcterms:created xsi:type="dcterms:W3CDTF">2025-11-24T13:48:00Z</dcterms:created>
  <dcterms:modified xsi:type="dcterms:W3CDTF">2025-11-24T13:56:00Z</dcterms:modified>
</cp:coreProperties>
</file>